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267B0">
              <w:rPr>
                <w:rFonts w:ascii="ＭＳ ゴシック" w:hAnsi="ＭＳ ゴシック" w:hint="eastAsia"/>
                <w:sz w:val="21"/>
                <w:szCs w:val="21"/>
              </w:rPr>
              <w:t>揖斐郡消防組合消防長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1267B0">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378" w:rsidRDefault="00F95378" w:rsidP="00EA487A">
      <w:r>
        <w:separator/>
      </w:r>
    </w:p>
  </w:endnote>
  <w:endnote w:type="continuationSeparator" w:id="0">
    <w:p w:rsidR="00F95378" w:rsidRDefault="00F9537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378" w:rsidRDefault="00F95378" w:rsidP="00EA487A">
      <w:r>
        <w:separator/>
      </w:r>
    </w:p>
  </w:footnote>
  <w:footnote w:type="continuationSeparator" w:id="0">
    <w:p w:rsidR="00F95378" w:rsidRDefault="00F9537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267B0"/>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953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EA767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45</cp:revision>
  <cp:lastPrinted>2023-03-30T07:16:00Z</cp:lastPrinted>
  <dcterms:created xsi:type="dcterms:W3CDTF">2022-06-23T13:06:00Z</dcterms:created>
  <dcterms:modified xsi:type="dcterms:W3CDTF">2023-03-30T07:16:00Z</dcterms:modified>
</cp:coreProperties>
</file>